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F75A2">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附件1：</w:t>
      </w:r>
      <w:r>
        <w:rPr>
          <w:rFonts w:hint="eastAsia" w:ascii="宋体" w:hAnsi="宋体" w:cs="宋体"/>
          <w:color w:val="auto"/>
          <w:szCs w:val="21"/>
          <w:highlight w:val="none"/>
        </w:rPr>
        <w:t>投标文件封面和封袋式样：（用于标书封面和封袋上，用于标书封面时投标人自行标注正、副本）。</w:t>
      </w:r>
    </w:p>
    <w:p w14:paraId="71335EDB">
      <w:pPr>
        <w:spacing w:line="360" w:lineRule="auto"/>
        <w:jc w:val="center"/>
        <w:rPr>
          <w:rFonts w:hint="eastAsia" w:ascii="Calibri" w:hAnsi="Calibri" w:cs="宋体"/>
          <w:b/>
          <w:color w:val="auto"/>
          <w:sz w:val="44"/>
          <w:szCs w:val="44"/>
          <w:highlight w:val="none"/>
          <w:shd w:val="clear" w:color="auto" w:fill="FFFFFF"/>
        </w:rPr>
      </w:pPr>
    </w:p>
    <w:p w14:paraId="46208D3E">
      <w:pPr>
        <w:spacing w:line="360" w:lineRule="auto"/>
        <w:jc w:val="center"/>
        <w:rPr>
          <w:rFonts w:hint="eastAsia" w:ascii="宋体" w:hAnsi="宋体" w:cs="宋体"/>
          <w:b/>
          <w:bCs/>
          <w:color w:val="auto"/>
          <w:spacing w:val="-20"/>
          <w:sz w:val="36"/>
          <w:highlight w:val="none"/>
        </w:rPr>
      </w:pPr>
      <w:r>
        <w:rPr>
          <w:rFonts w:hint="eastAsia" w:ascii="宋体" w:hAnsi="宋体" w:cs="宋体"/>
          <w:b/>
          <w:i w:val="0"/>
          <w:iCs w:val="0"/>
          <w:caps w:val="0"/>
          <w:color w:val="auto"/>
          <w:spacing w:val="0"/>
          <w:kern w:val="2"/>
          <w:sz w:val="36"/>
          <w:szCs w:val="36"/>
          <w:highlight w:val="none"/>
          <w:shd w:val="clear" w:color="auto" w:fill="auto"/>
          <w:lang w:val="en-US" w:eastAsia="zh-CN" w:bidi="ar"/>
        </w:rPr>
        <w:t>盐城市公安局特警实战训练基地室内实战应用射击场项目</w:t>
      </w:r>
      <w:r>
        <w:rPr>
          <w:rFonts w:hint="eastAsia" w:ascii="宋体" w:hAnsi="宋体" w:eastAsia="宋体" w:cs="宋体"/>
          <w:b/>
          <w:i w:val="0"/>
          <w:iCs w:val="0"/>
          <w:caps w:val="0"/>
          <w:color w:val="auto"/>
          <w:spacing w:val="0"/>
          <w:kern w:val="2"/>
          <w:sz w:val="36"/>
          <w:szCs w:val="36"/>
          <w:highlight w:val="none"/>
          <w:shd w:val="clear" w:color="auto" w:fill="auto"/>
          <w:lang w:val="en-US" w:eastAsia="zh-CN" w:bidi="ar"/>
        </w:rPr>
        <w:t>财务决算审计</w:t>
      </w:r>
    </w:p>
    <w:p w14:paraId="30D4C673">
      <w:pPr>
        <w:spacing w:line="360" w:lineRule="auto"/>
        <w:jc w:val="center"/>
        <w:rPr>
          <w:rFonts w:hint="eastAsia" w:ascii="宋体" w:hAnsi="宋体" w:cs="宋体"/>
          <w:b/>
          <w:bCs/>
          <w:color w:val="auto"/>
          <w:spacing w:val="-20"/>
          <w:sz w:val="36"/>
          <w:highlight w:val="none"/>
        </w:rPr>
      </w:pPr>
    </w:p>
    <w:p w14:paraId="3CC5F138">
      <w:pPr>
        <w:spacing w:line="360" w:lineRule="auto"/>
        <w:jc w:val="center"/>
        <w:rPr>
          <w:rFonts w:hint="eastAsia" w:ascii="宋体" w:hAnsi="宋体" w:cs="宋体"/>
          <w:b/>
          <w:bCs/>
          <w:color w:val="auto"/>
          <w:spacing w:val="-20"/>
          <w:sz w:val="36"/>
          <w:highlight w:val="none"/>
        </w:rPr>
      </w:pPr>
    </w:p>
    <w:p w14:paraId="15AB60DF">
      <w:pPr>
        <w:spacing w:line="360" w:lineRule="auto"/>
        <w:jc w:val="center"/>
        <w:rPr>
          <w:rFonts w:hint="eastAsia" w:ascii="宋体" w:hAnsi="宋体" w:cs="宋体"/>
          <w:b/>
          <w:bCs/>
          <w:color w:val="auto"/>
          <w:spacing w:val="-20"/>
          <w:sz w:val="36"/>
          <w:highlight w:val="none"/>
        </w:rPr>
      </w:pPr>
    </w:p>
    <w:p w14:paraId="59BC1B0E">
      <w:pPr>
        <w:spacing w:line="360" w:lineRule="auto"/>
        <w:jc w:val="center"/>
        <w:rPr>
          <w:rFonts w:hint="eastAsia" w:ascii="宋体" w:hAnsi="宋体" w:cs="宋体"/>
          <w:b/>
          <w:bCs/>
          <w:color w:val="auto"/>
          <w:spacing w:val="-20"/>
          <w:sz w:val="36"/>
          <w:szCs w:val="36"/>
          <w:highlight w:val="none"/>
        </w:rPr>
      </w:pPr>
    </w:p>
    <w:p w14:paraId="52993206">
      <w:pPr>
        <w:spacing w:line="360" w:lineRule="auto"/>
        <w:jc w:val="center"/>
        <w:rPr>
          <w:rFonts w:hint="eastAsia" w:ascii="宋体" w:hAnsi="宋体" w:cs="宋体"/>
          <w:b/>
          <w:bCs/>
          <w:color w:val="auto"/>
          <w:spacing w:val="-20"/>
          <w:sz w:val="96"/>
          <w:highlight w:val="none"/>
        </w:rPr>
      </w:pPr>
      <w:r>
        <w:rPr>
          <w:rFonts w:hint="eastAsia" w:ascii="宋体" w:hAnsi="宋体" w:cs="宋体"/>
          <w:b/>
          <w:bCs/>
          <w:color w:val="auto"/>
          <w:spacing w:val="-20"/>
          <w:sz w:val="96"/>
          <w:highlight w:val="none"/>
        </w:rPr>
        <w:t>投 标 文 件</w:t>
      </w:r>
    </w:p>
    <w:p w14:paraId="2E4312A3">
      <w:pPr>
        <w:spacing w:line="360" w:lineRule="auto"/>
        <w:jc w:val="center"/>
        <w:rPr>
          <w:rFonts w:hint="eastAsia" w:ascii="宋体" w:hAnsi="宋体" w:cs="宋体"/>
          <w:color w:val="auto"/>
          <w:sz w:val="36"/>
          <w:szCs w:val="36"/>
          <w:highlight w:val="none"/>
          <w:u w:val="single"/>
        </w:rPr>
      </w:pPr>
    </w:p>
    <w:p w14:paraId="1C0D189A">
      <w:pPr>
        <w:spacing w:line="360" w:lineRule="auto"/>
        <w:jc w:val="center"/>
        <w:rPr>
          <w:rFonts w:hint="eastAsia" w:ascii="宋体" w:hAnsi="宋体" w:cs="宋体"/>
          <w:color w:val="auto"/>
          <w:sz w:val="36"/>
          <w:szCs w:val="36"/>
          <w:highlight w:val="none"/>
          <w:u w:val="single"/>
        </w:rPr>
      </w:pPr>
    </w:p>
    <w:p w14:paraId="5CD02022">
      <w:pPr>
        <w:spacing w:line="360" w:lineRule="auto"/>
        <w:jc w:val="center"/>
        <w:rPr>
          <w:rFonts w:hint="eastAsia" w:ascii="宋体" w:hAnsi="宋体" w:cs="宋体"/>
          <w:color w:val="auto"/>
          <w:sz w:val="36"/>
          <w:szCs w:val="36"/>
          <w:highlight w:val="none"/>
          <w:u w:val="single"/>
        </w:rPr>
      </w:pPr>
    </w:p>
    <w:p w14:paraId="2D9F9BBA">
      <w:pPr>
        <w:spacing w:line="360" w:lineRule="auto"/>
        <w:jc w:val="center"/>
        <w:rPr>
          <w:rFonts w:hint="eastAsia" w:ascii="宋体" w:hAnsi="宋体" w:cs="宋体"/>
          <w:color w:val="auto"/>
          <w:sz w:val="36"/>
          <w:szCs w:val="36"/>
          <w:highlight w:val="none"/>
          <w:u w:val="single"/>
        </w:rPr>
      </w:pPr>
    </w:p>
    <w:p w14:paraId="7A770500">
      <w:pPr>
        <w:spacing w:line="360" w:lineRule="auto"/>
        <w:jc w:val="center"/>
        <w:rPr>
          <w:rFonts w:hint="eastAsia" w:ascii="宋体" w:hAnsi="宋体" w:cs="宋体"/>
          <w:color w:val="auto"/>
          <w:sz w:val="36"/>
          <w:szCs w:val="36"/>
          <w:highlight w:val="none"/>
          <w:u w:val="single"/>
        </w:rPr>
      </w:pPr>
    </w:p>
    <w:p w14:paraId="6721C62C">
      <w:pPr>
        <w:tabs>
          <w:tab w:val="left" w:pos="7140"/>
        </w:tabs>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 xml:space="preserve">投标人（公章）：        </w:t>
      </w:r>
    </w:p>
    <w:p w14:paraId="1E02F262">
      <w:pPr>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法定代表人（签字或盖章）：</w:t>
      </w:r>
    </w:p>
    <w:p w14:paraId="507604A7">
      <w:pPr>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或委托代理人</w:t>
      </w:r>
    </w:p>
    <w:p w14:paraId="12FC38F3">
      <w:pPr>
        <w:keepNext/>
        <w:spacing w:line="360" w:lineRule="auto"/>
        <w:ind w:firstLine="723" w:firstLineChars="200"/>
        <w:jc w:val="left"/>
        <w:rPr>
          <w:rFonts w:hint="eastAsia" w:ascii="宋体" w:hAnsi="宋体" w:cs="宋体"/>
          <w:b/>
          <w:color w:val="auto"/>
          <w:szCs w:val="21"/>
          <w:highlight w:val="none"/>
        </w:rPr>
      </w:pPr>
      <w:r>
        <w:rPr>
          <w:rFonts w:hint="eastAsia" w:ascii="宋体" w:hAnsi="宋体" w:cs="宋体"/>
          <w:b/>
          <w:color w:val="auto"/>
          <w:sz w:val="36"/>
          <w:highlight w:val="none"/>
        </w:rPr>
        <w:t>日    期：     年     月     日</w:t>
      </w:r>
    </w:p>
    <w:p w14:paraId="323EDAA3"/>
    <w:p w14:paraId="1DF62B74">
      <w:pPr>
        <w:pStyle w:val="2"/>
      </w:pPr>
    </w:p>
    <w:p w14:paraId="030AFF05">
      <w:pPr>
        <w:pStyle w:val="2"/>
      </w:pPr>
    </w:p>
    <w:p w14:paraId="5801C02E">
      <w:pPr>
        <w:spacing w:line="360" w:lineRule="auto"/>
        <w:rPr>
          <w:rFonts w:hint="eastAsia" w:ascii="宋体" w:hAnsi="宋体" w:cs="宋体"/>
          <w:b/>
          <w:bCs/>
          <w:color w:val="auto"/>
          <w:sz w:val="44"/>
          <w:highlight w:val="none"/>
        </w:rPr>
      </w:pPr>
      <w:r>
        <w:rPr>
          <w:rFonts w:hint="eastAsia" w:ascii="宋体" w:hAnsi="宋体" w:cs="宋体"/>
          <w:b/>
          <w:color w:val="auto"/>
          <w:szCs w:val="21"/>
          <w:highlight w:val="none"/>
        </w:rPr>
        <w:t>附件2：</w:t>
      </w:r>
    </w:p>
    <w:p w14:paraId="6327FC61">
      <w:pPr>
        <w:spacing w:line="360" w:lineRule="auto"/>
        <w:jc w:val="center"/>
        <w:rPr>
          <w:rFonts w:hint="eastAsia" w:ascii="宋体" w:hAnsi="宋体" w:cs="宋体"/>
          <w:b/>
          <w:color w:val="auto"/>
          <w:sz w:val="32"/>
          <w:szCs w:val="32"/>
          <w:highlight w:val="none"/>
        </w:rPr>
      </w:pPr>
    </w:p>
    <w:p w14:paraId="514ED6D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法定代表人身份证明书</w:t>
      </w:r>
    </w:p>
    <w:p w14:paraId="5B8D40D0">
      <w:pPr>
        <w:spacing w:line="360" w:lineRule="auto"/>
        <w:jc w:val="center"/>
        <w:rPr>
          <w:rFonts w:hint="eastAsia" w:ascii="宋体" w:hAnsi="宋体" w:cs="宋体"/>
          <w:b/>
          <w:color w:val="auto"/>
          <w:sz w:val="32"/>
          <w:szCs w:val="32"/>
          <w:highlight w:val="none"/>
        </w:rPr>
      </w:pPr>
    </w:p>
    <w:p w14:paraId="132606D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14:paraId="11C6A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33EEAA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8076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141DA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898D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311A99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（投标人）的法定代表人。</w:t>
      </w:r>
    </w:p>
    <w:p w14:paraId="33531594">
      <w:pPr>
        <w:spacing w:line="360" w:lineRule="auto"/>
        <w:rPr>
          <w:rFonts w:hint="eastAsia" w:ascii="宋体" w:hAnsi="宋体" w:cs="宋体"/>
          <w:color w:val="auto"/>
          <w:szCs w:val="21"/>
          <w:highlight w:val="none"/>
        </w:rPr>
      </w:pPr>
    </w:p>
    <w:p w14:paraId="3A1CE03C">
      <w:pPr>
        <w:spacing w:line="360" w:lineRule="auto"/>
        <w:rPr>
          <w:rFonts w:hint="eastAsia" w:ascii="宋体" w:hAnsi="宋体" w:cs="宋体"/>
          <w:color w:val="auto"/>
          <w:szCs w:val="21"/>
          <w:highlight w:val="none"/>
        </w:rPr>
      </w:pPr>
    </w:p>
    <w:p w14:paraId="2DDF5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AA58A5D">
      <w:pPr>
        <w:spacing w:line="360" w:lineRule="auto"/>
        <w:rPr>
          <w:rFonts w:hint="eastAsia" w:ascii="宋体" w:hAnsi="宋体" w:cs="宋体"/>
          <w:color w:val="auto"/>
          <w:szCs w:val="21"/>
          <w:highlight w:val="none"/>
        </w:rPr>
      </w:pPr>
    </w:p>
    <w:p w14:paraId="16B88CC9">
      <w:pPr>
        <w:spacing w:line="360" w:lineRule="auto"/>
        <w:rPr>
          <w:rFonts w:hint="eastAsia" w:ascii="宋体" w:hAnsi="宋体" w:cs="宋体"/>
          <w:color w:val="auto"/>
          <w:szCs w:val="21"/>
          <w:highlight w:val="none"/>
        </w:rPr>
      </w:pPr>
    </w:p>
    <w:p w14:paraId="656D1F87">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投标人（盖章）：</w:t>
      </w:r>
    </w:p>
    <w:p w14:paraId="025852C2">
      <w:pPr>
        <w:spacing w:line="360" w:lineRule="auto"/>
        <w:rPr>
          <w:rFonts w:hint="eastAsia" w:ascii="宋体" w:hAnsi="宋体" w:cs="宋体"/>
          <w:color w:val="auto"/>
          <w:szCs w:val="21"/>
          <w:highlight w:val="none"/>
        </w:rPr>
      </w:pPr>
    </w:p>
    <w:p w14:paraId="493AF5CB">
      <w:pPr>
        <w:spacing w:line="360" w:lineRule="auto"/>
        <w:ind w:firstLine="5250" w:firstLineChars="2500"/>
        <w:rPr>
          <w:rFonts w:hint="eastAsia" w:ascii="宋体" w:hAnsi="宋体" w:cs="宋体"/>
          <w:b/>
          <w:color w:val="auto"/>
          <w:spacing w:val="45"/>
          <w:szCs w:val="21"/>
          <w:highlight w:val="none"/>
        </w:rPr>
      </w:pPr>
      <w:r>
        <w:rPr>
          <w:rFonts w:hint="eastAsia" w:ascii="宋体" w:hAnsi="宋体" w:cs="宋体"/>
          <w:color w:val="auto"/>
          <w:szCs w:val="21"/>
          <w:highlight w:val="none"/>
        </w:rPr>
        <w:t>日期：    年    月    日</w:t>
      </w:r>
    </w:p>
    <w:p w14:paraId="10C48E6D">
      <w:pPr>
        <w:spacing w:line="360" w:lineRule="auto"/>
        <w:rPr>
          <w:rFonts w:hint="eastAsia" w:ascii="宋体" w:hAnsi="宋体" w:cs="宋体"/>
          <w:b/>
          <w:color w:val="auto"/>
          <w:szCs w:val="21"/>
          <w:highlight w:val="none"/>
        </w:rPr>
      </w:pPr>
    </w:p>
    <w:p w14:paraId="4DD9B4CB">
      <w:pPr>
        <w:spacing w:line="360" w:lineRule="auto"/>
        <w:rPr>
          <w:rFonts w:hint="eastAsia" w:ascii="宋体" w:hAnsi="宋体" w:cs="宋体"/>
          <w:b/>
          <w:color w:val="auto"/>
          <w:szCs w:val="21"/>
          <w:highlight w:val="none"/>
        </w:rPr>
      </w:pPr>
    </w:p>
    <w:p w14:paraId="04AD485B">
      <w:pPr>
        <w:spacing w:line="360" w:lineRule="auto"/>
        <w:rPr>
          <w:rFonts w:hint="eastAsia" w:ascii="宋体" w:hAnsi="宋体" w:cs="宋体"/>
          <w:b/>
          <w:color w:val="auto"/>
          <w:szCs w:val="21"/>
          <w:highlight w:val="none"/>
        </w:rPr>
      </w:pPr>
    </w:p>
    <w:p w14:paraId="29C16C0E">
      <w:pPr>
        <w:spacing w:line="360" w:lineRule="auto"/>
        <w:rPr>
          <w:rFonts w:hint="eastAsia" w:ascii="宋体" w:hAnsi="宋体" w:cs="宋体"/>
          <w:b/>
          <w:color w:val="auto"/>
          <w:szCs w:val="21"/>
          <w:highlight w:val="none"/>
        </w:rPr>
      </w:pPr>
    </w:p>
    <w:p w14:paraId="7F6E3F54">
      <w:pPr>
        <w:spacing w:line="360" w:lineRule="auto"/>
        <w:rPr>
          <w:rFonts w:hint="eastAsia" w:ascii="宋体" w:hAnsi="宋体" w:cs="宋体"/>
          <w:b/>
          <w:color w:val="auto"/>
          <w:szCs w:val="21"/>
          <w:highlight w:val="none"/>
        </w:rPr>
      </w:pPr>
    </w:p>
    <w:p w14:paraId="2F837FA3">
      <w:pPr>
        <w:spacing w:line="360" w:lineRule="auto"/>
        <w:rPr>
          <w:rFonts w:hint="eastAsia" w:ascii="宋体" w:hAnsi="宋体" w:cs="宋体"/>
          <w:b/>
          <w:color w:val="auto"/>
          <w:szCs w:val="21"/>
          <w:highlight w:val="none"/>
        </w:rPr>
      </w:pPr>
    </w:p>
    <w:p w14:paraId="6ACA6BFB">
      <w:pPr>
        <w:spacing w:line="360" w:lineRule="auto"/>
        <w:rPr>
          <w:rFonts w:hint="eastAsia" w:ascii="宋体" w:hAnsi="宋体" w:cs="宋体"/>
          <w:b/>
          <w:color w:val="auto"/>
          <w:szCs w:val="21"/>
          <w:highlight w:val="none"/>
        </w:rPr>
      </w:pPr>
    </w:p>
    <w:p w14:paraId="60F7CB98">
      <w:pPr>
        <w:spacing w:line="360" w:lineRule="auto"/>
        <w:rPr>
          <w:rFonts w:hint="eastAsia" w:ascii="宋体" w:hAnsi="宋体" w:cs="宋体"/>
          <w:b/>
          <w:color w:val="auto"/>
          <w:szCs w:val="21"/>
          <w:highlight w:val="none"/>
        </w:rPr>
      </w:pPr>
    </w:p>
    <w:p w14:paraId="02F18715">
      <w:pPr>
        <w:spacing w:line="360" w:lineRule="auto"/>
        <w:rPr>
          <w:rFonts w:hint="eastAsia" w:ascii="宋体" w:hAnsi="宋体" w:cs="宋体"/>
          <w:b/>
          <w:color w:val="auto"/>
          <w:szCs w:val="21"/>
          <w:highlight w:val="none"/>
        </w:rPr>
      </w:pPr>
    </w:p>
    <w:p w14:paraId="2FDEE468">
      <w:pPr>
        <w:spacing w:line="360" w:lineRule="auto"/>
        <w:rPr>
          <w:rFonts w:hint="eastAsia" w:ascii="宋体" w:hAnsi="宋体" w:cs="宋体"/>
          <w:b/>
          <w:color w:val="auto"/>
          <w:szCs w:val="21"/>
          <w:highlight w:val="none"/>
        </w:rPr>
      </w:pPr>
    </w:p>
    <w:p w14:paraId="039474EE">
      <w:pPr>
        <w:spacing w:line="360" w:lineRule="auto"/>
        <w:rPr>
          <w:rFonts w:hint="eastAsia" w:ascii="宋体" w:hAnsi="宋体" w:cs="宋体"/>
          <w:b/>
          <w:color w:val="auto"/>
          <w:spacing w:val="45"/>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p>
    <w:p w14:paraId="68234236">
      <w:pPr>
        <w:spacing w:line="360" w:lineRule="auto"/>
        <w:jc w:val="center"/>
        <w:rPr>
          <w:rFonts w:hint="eastAsia" w:ascii="宋体" w:hAnsi="宋体" w:cs="宋体"/>
          <w:b/>
          <w:color w:val="auto"/>
          <w:szCs w:val="21"/>
          <w:highlight w:val="none"/>
        </w:rPr>
      </w:pPr>
      <w:r>
        <w:rPr>
          <w:rFonts w:hint="eastAsia" w:ascii="宋体" w:hAnsi="宋体" w:cs="宋体"/>
          <w:b/>
          <w:color w:val="auto"/>
          <w:sz w:val="32"/>
          <w:szCs w:val="32"/>
          <w:highlight w:val="none"/>
        </w:rPr>
        <w:t>投 标 函</w:t>
      </w:r>
    </w:p>
    <w:p w14:paraId="3CA80E30">
      <w:pPr>
        <w:spacing w:line="360" w:lineRule="auto"/>
        <w:jc w:val="center"/>
        <w:rPr>
          <w:rFonts w:hint="eastAsia" w:ascii="宋体" w:hAnsi="宋体" w:cs="宋体"/>
          <w:color w:val="auto"/>
          <w:szCs w:val="21"/>
          <w:highlight w:val="none"/>
          <w:u w:val="single"/>
        </w:rPr>
      </w:pPr>
    </w:p>
    <w:p w14:paraId="4A241F71">
      <w:pPr>
        <w:spacing w:line="360" w:lineRule="auto"/>
        <w:rPr>
          <w:rFonts w:hint="eastAsia" w:ascii="宋体" w:hAnsi="宋体" w:cs="宋体"/>
          <w:color w:val="auto"/>
          <w:szCs w:val="21"/>
          <w:highlight w:val="none"/>
        </w:rPr>
      </w:pPr>
      <w:r>
        <w:rPr>
          <w:rFonts w:hint="eastAsia" w:ascii="宋体" w:hAnsi="宋体" w:cs="宋体"/>
          <w:bCs/>
          <w:color w:val="auto"/>
          <w:sz w:val="21"/>
          <w:szCs w:val="21"/>
          <w:highlight w:val="none"/>
          <w:lang w:val="en-US" w:eastAsia="zh-CN"/>
        </w:rPr>
        <w:t>盐城市国投置业有限公司</w:t>
      </w:r>
      <w:r>
        <w:rPr>
          <w:rFonts w:hint="eastAsia" w:ascii="宋体" w:hAnsi="宋体" w:cs="宋体"/>
          <w:color w:val="auto"/>
          <w:szCs w:val="21"/>
          <w:highlight w:val="none"/>
        </w:rPr>
        <w:t>：</w:t>
      </w:r>
    </w:p>
    <w:p w14:paraId="25DE433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1、根据已收到的</w:t>
      </w:r>
      <w:bookmarkStart w:id="0" w:name="OLE_LINK15"/>
      <w:r>
        <w:rPr>
          <w:rFonts w:hint="eastAsia" w:ascii="宋体" w:hAnsi="宋体" w:cs="宋体"/>
          <w:bCs/>
          <w:color w:val="auto"/>
          <w:szCs w:val="21"/>
          <w:highlight w:val="none"/>
          <w:lang w:val="en-US" w:eastAsia="zh-CN"/>
        </w:rPr>
        <w:t>盐城市公安局特警实战训练基地室内实战应用射击场</w:t>
      </w:r>
      <w:r>
        <w:rPr>
          <w:rFonts w:hint="eastAsia" w:ascii="宋体" w:hAnsi="宋体" w:eastAsia="宋体" w:cs="宋体"/>
          <w:bCs/>
          <w:color w:val="auto"/>
          <w:szCs w:val="21"/>
          <w:highlight w:val="none"/>
          <w:lang w:eastAsia="zh-CN"/>
        </w:rPr>
        <w:t>项目财务决算审计</w:t>
      </w:r>
      <w:bookmarkEnd w:id="0"/>
      <w:r>
        <w:rPr>
          <w:rFonts w:hint="eastAsia" w:ascii="宋体" w:hAnsi="宋体" w:cs="宋体"/>
          <w:color w:val="auto"/>
          <w:szCs w:val="21"/>
          <w:highlight w:val="none"/>
        </w:rPr>
        <w:t>的招标文件，遵照《中华</w:t>
      </w:r>
      <w:bookmarkStart w:id="1" w:name="OLE_LINK13"/>
      <w:r>
        <w:rPr>
          <w:rFonts w:hint="eastAsia" w:ascii="宋体" w:hAnsi="宋体" w:cs="宋体"/>
          <w:color w:val="auto"/>
          <w:szCs w:val="21"/>
          <w:highlight w:val="none"/>
        </w:rPr>
        <w:t>人民共和国招标投标法》等有关规定，我单位经研究贵方招标文件的所有内容后，决定无保留地</w:t>
      </w:r>
      <w:bookmarkEnd w:id="1"/>
      <w:r>
        <w:rPr>
          <w:rFonts w:hint="eastAsia" w:ascii="宋体" w:hAnsi="宋体" w:cs="宋体"/>
          <w:color w:val="auto"/>
          <w:szCs w:val="21"/>
          <w:highlight w:val="none"/>
        </w:rPr>
        <w:t>接受招标文件所有条款，我方兹以：</w:t>
      </w:r>
      <w:bookmarkStart w:id="2" w:name="OLE_LINK14"/>
      <w:r>
        <w:rPr>
          <w:rFonts w:hint="eastAsia" w:ascii="宋体" w:hAnsi="宋体" w:cs="宋体"/>
          <w:color w:val="auto"/>
          <w:szCs w:val="21"/>
          <w:highlight w:val="none"/>
          <w:u w:val="single"/>
        </w:rPr>
        <w:t>含税价格人民币(大写)：          （¥：     元）</w:t>
      </w:r>
      <w:bookmarkEnd w:id="2"/>
      <w:r>
        <w:rPr>
          <w:rFonts w:hint="eastAsia" w:ascii="宋体" w:hAnsi="宋体" w:cs="宋体"/>
          <w:color w:val="auto"/>
          <w:szCs w:val="21"/>
          <w:highlight w:val="none"/>
        </w:rPr>
        <w:t>实施和完成各项服务工作。</w:t>
      </w:r>
    </w:p>
    <w:p w14:paraId="23CF425A">
      <w:pPr>
        <w:spacing w:line="360" w:lineRule="auto"/>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t>2、一旦我方中标，我方确保在</w:t>
      </w:r>
      <w:r>
        <w:rPr>
          <w:rFonts w:hint="eastAsia" w:ascii="Times New Roman" w:hAnsi="Times New Roman" w:eastAsia="宋体" w:cs="Times New Roman"/>
          <w:color w:val="auto"/>
          <w:kern w:val="2"/>
          <w:sz w:val="21"/>
          <w:szCs w:val="24"/>
          <w:highlight w:val="none"/>
          <w:lang w:val="en-US" w:eastAsia="zh-CN" w:bidi="ar-SA"/>
        </w:rPr>
        <w:t>接到招标人通知后</w:t>
      </w:r>
      <w:r>
        <w:rPr>
          <w:rFonts w:hint="eastAsia" w:cs="Times New Roman"/>
          <w:color w:val="auto"/>
          <w:kern w:val="2"/>
          <w:sz w:val="21"/>
          <w:szCs w:val="24"/>
          <w:highlight w:val="none"/>
          <w:lang w:val="en-US" w:eastAsia="zh-CN" w:bidi="ar-SA"/>
        </w:rPr>
        <w:t>30</w:t>
      </w:r>
      <w:r>
        <w:rPr>
          <w:rFonts w:hint="eastAsia" w:ascii="Times New Roman" w:hAnsi="Times New Roman" w:eastAsia="宋体" w:cs="Times New Roman"/>
          <w:color w:val="auto"/>
          <w:kern w:val="2"/>
          <w:sz w:val="21"/>
          <w:szCs w:val="24"/>
          <w:highlight w:val="none"/>
          <w:lang w:val="en-US" w:eastAsia="zh-CN" w:bidi="ar-SA"/>
        </w:rPr>
        <w:t>日历天内完成全部审计工作并出具财务决算审计报告</w:t>
      </w:r>
      <w:r>
        <w:rPr>
          <w:rFonts w:hint="eastAsia" w:ascii="宋体" w:hAnsi="宋体" w:cs="宋体"/>
          <w:color w:val="auto"/>
          <w:szCs w:val="21"/>
          <w:highlight w:val="none"/>
        </w:rPr>
        <w:t>。</w:t>
      </w:r>
    </w:p>
    <w:p w14:paraId="3DAA2D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3、本次投标，我方将派出项目负责人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85BF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4、我方保证：严格遵守《盐城市市场廉政准入规定（试行）》的各项规定。我方投标文件提供的所有资料真实、有效，如有不实，我方将放弃中标的权利，并承担由此产生的责任。</w:t>
      </w:r>
    </w:p>
    <w:p w14:paraId="0E6C86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相关部门的处理。</w:t>
      </w:r>
    </w:p>
    <w:p w14:paraId="05F823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6、你方投标文件将成为约束双方的合同文件的组成部分。</w:t>
      </w:r>
    </w:p>
    <w:p w14:paraId="376F740F">
      <w:pPr>
        <w:spacing w:line="360" w:lineRule="auto"/>
        <w:ind w:firstLine="420" w:firstLineChars="200"/>
        <w:rPr>
          <w:rFonts w:hint="eastAsia" w:ascii="宋体" w:hAnsi="宋体" w:cs="宋体"/>
          <w:color w:val="auto"/>
          <w:szCs w:val="21"/>
          <w:highlight w:val="none"/>
        </w:rPr>
      </w:pPr>
    </w:p>
    <w:p w14:paraId="05D8E021">
      <w:pPr>
        <w:widowControl/>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（盖章）</w:t>
      </w:r>
    </w:p>
    <w:p w14:paraId="77564F18">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单位地址：</w:t>
      </w:r>
      <w:r>
        <w:rPr>
          <w:rFonts w:hint="eastAsia" w:ascii="宋体" w:hAnsi="宋体" w:cs="宋体"/>
          <w:color w:val="auto"/>
          <w:kern w:val="0"/>
          <w:szCs w:val="21"/>
          <w:highlight w:val="none"/>
          <w:u w:val="single"/>
        </w:rPr>
        <w:t xml:space="preserve">                               </w:t>
      </w:r>
    </w:p>
    <w:p w14:paraId="2CE17F78">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43BABB5C">
      <w:pPr>
        <w:widowControl/>
        <w:adjustRightIn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传真：</w:t>
      </w:r>
      <w:r>
        <w:rPr>
          <w:rFonts w:hint="eastAsia" w:ascii="宋体" w:hAnsi="宋体" w:cs="宋体"/>
          <w:color w:val="auto"/>
          <w:kern w:val="0"/>
          <w:szCs w:val="21"/>
          <w:highlight w:val="none"/>
          <w:u w:val="single"/>
        </w:rPr>
        <w:t xml:space="preserve">          </w:t>
      </w:r>
    </w:p>
    <w:p w14:paraId="784F0FBC">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开户银行名称及账号：</w:t>
      </w:r>
      <w:r>
        <w:rPr>
          <w:rFonts w:hint="eastAsia" w:ascii="宋体" w:hAnsi="宋体" w:cs="宋体"/>
          <w:color w:val="auto"/>
          <w:kern w:val="0"/>
          <w:szCs w:val="21"/>
          <w:highlight w:val="none"/>
          <w:u w:val="single"/>
        </w:rPr>
        <w:t xml:space="preserve">                     </w:t>
      </w:r>
    </w:p>
    <w:p w14:paraId="3B5F40A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kern w:val="0"/>
          <w:szCs w:val="21"/>
          <w:highlight w:val="none"/>
        </w:rPr>
        <w:t>日    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日</w:t>
      </w:r>
    </w:p>
    <w:p w14:paraId="43927824">
      <w:pPr>
        <w:spacing w:line="360" w:lineRule="auto"/>
        <w:jc w:val="left"/>
        <w:rPr>
          <w:rFonts w:hint="eastAsia" w:ascii="宋体" w:hAnsi="宋体" w:cs="宋体"/>
          <w:b/>
          <w:bCs/>
          <w:color w:val="auto"/>
          <w:szCs w:val="21"/>
          <w:highlight w:val="none"/>
        </w:rPr>
      </w:pPr>
    </w:p>
    <w:p w14:paraId="14AEEBC2">
      <w:pPr>
        <w:pStyle w:val="2"/>
        <w:rPr>
          <w:rFonts w:hint="eastAsia" w:ascii="宋体" w:hAnsi="宋体" w:cs="宋体"/>
          <w:b/>
          <w:bCs/>
          <w:color w:val="auto"/>
          <w:szCs w:val="21"/>
          <w:highlight w:val="none"/>
        </w:rPr>
      </w:pPr>
    </w:p>
    <w:p w14:paraId="5B9F215A">
      <w:pPr>
        <w:pStyle w:val="2"/>
        <w:rPr>
          <w:rFonts w:hint="eastAsia" w:ascii="宋体" w:hAnsi="宋体" w:cs="宋体"/>
          <w:b/>
          <w:bCs/>
          <w:color w:val="auto"/>
          <w:szCs w:val="21"/>
          <w:highlight w:val="none"/>
        </w:rPr>
      </w:pPr>
    </w:p>
    <w:p w14:paraId="129A52FB">
      <w:pPr>
        <w:tabs>
          <w:tab w:val="left" w:pos="2730"/>
        </w:tabs>
        <w:spacing w:line="360" w:lineRule="auto"/>
        <w:rPr>
          <w:rFonts w:hint="eastAsia" w:ascii="宋体" w:hAnsi="宋体" w:cs="宋体"/>
          <w:color w:val="auto"/>
          <w:szCs w:val="21"/>
          <w:highlight w:val="none"/>
        </w:rPr>
      </w:pPr>
    </w:p>
    <w:p w14:paraId="5C430816">
      <w:pPr>
        <w:tabs>
          <w:tab w:val="left" w:pos="273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投标函附件：</w:t>
      </w:r>
    </w:p>
    <w:p w14:paraId="61715937">
      <w:pPr>
        <w:tabs>
          <w:tab w:val="left" w:pos="2730"/>
        </w:tabs>
        <w:spacing w:line="360" w:lineRule="auto"/>
        <w:jc w:val="center"/>
        <w:rPr>
          <w:rFonts w:hint="eastAsia" w:ascii="宋体" w:hAnsi="宋体" w:cs="宋体"/>
          <w:b/>
          <w:color w:val="auto"/>
          <w:szCs w:val="21"/>
          <w:highlight w:val="none"/>
        </w:rPr>
      </w:pPr>
    </w:p>
    <w:p w14:paraId="651B15E7">
      <w:pPr>
        <w:tabs>
          <w:tab w:val="left" w:pos="2730"/>
        </w:tabs>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项目负责人身份证复印件（正反两面）粘贴处：</w:t>
      </w:r>
    </w:p>
    <w:tbl>
      <w:tblPr>
        <w:tblStyle w:val="5"/>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240A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21E533D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76656D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（反面）</w:t>
            </w:r>
          </w:p>
        </w:tc>
      </w:tr>
    </w:tbl>
    <w:p w14:paraId="64801FD9">
      <w:pPr>
        <w:spacing w:line="360" w:lineRule="auto"/>
        <w:jc w:val="left"/>
        <w:rPr>
          <w:rFonts w:ascii="宋体" w:hAnsi="宋体" w:cs="宋体"/>
          <w:b/>
          <w:bCs/>
          <w:color w:val="auto"/>
          <w:szCs w:val="21"/>
          <w:highlight w:val="none"/>
        </w:rPr>
      </w:pPr>
    </w:p>
    <w:p w14:paraId="29E902DF">
      <w:pPr>
        <w:spacing w:line="360" w:lineRule="auto"/>
        <w:jc w:val="left"/>
        <w:rPr>
          <w:rFonts w:hint="eastAsia" w:ascii="宋体" w:hAnsi="宋体" w:cs="宋体"/>
          <w:b/>
          <w:bCs/>
          <w:color w:val="auto"/>
          <w:szCs w:val="21"/>
          <w:highlight w:val="none"/>
        </w:rPr>
      </w:pPr>
    </w:p>
    <w:p w14:paraId="3DB60101">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投标单位：（盖章）</w:t>
      </w:r>
    </w:p>
    <w:p w14:paraId="4F352AAE">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29B5D010">
      <w:pPr>
        <w:spacing w:line="360" w:lineRule="auto"/>
        <w:ind w:firstLine="5250" w:firstLineChars="2500"/>
        <w:jc w:val="left"/>
        <w:rPr>
          <w:rFonts w:hint="eastAsia" w:ascii="宋体" w:hAnsi="宋体" w:cs="宋体"/>
          <w:b/>
          <w:bCs/>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31594D5">
      <w:pPr>
        <w:pStyle w:val="2"/>
      </w:pPr>
    </w:p>
    <w:p w14:paraId="4B91EBA9">
      <w:pPr>
        <w:pStyle w:val="2"/>
      </w:pPr>
    </w:p>
    <w:p w14:paraId="21211AC3">
      <w:pPr>
        <w:pStyle w:val="2"/>
      </w:pPr>
    </w:p>
    <w:p w14:paraId="006B4BED">
      <w:pPr>
        <w:pStyle w:val="2"/>
      </w:pPr>
    </w:p>
    <w:p w14:paraId="1EC9B1E4">
      <w:pPr>
        <w:pStyle w:val="2"/>
      </w:pPr>
    </w:p>
    <w:p w14:paraId="20F8EDDA">
      <w:pPr>
        <w:pStyle w:val="2"/>
      </w:pPr>
    </w:p>
    <w:p w14:paraId="2AF6794E">
      <w:pPr>
        <w:pStyle w:val="2"/>
      </w:pPr>
    </w:p>
    <w:p w14:paraId="42C94619">
      <w:pPr>
        <w:pStyle w:val="2"/>
      </w:pPr>
    </w:p>
    <w:p w14:paraId="00F0C83E">
      <w:pPr>
        <w:pStyle w:val="2"/>
      </w:pPr>
    </w:p>
    <w:p w14:paraId="61AD1C10">
      <w:pPr>
        <w:pStyle w:val="2"/>
      </w:pPr>
    </w:p>
    <w:p w14:paraId="5361628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p>
    <w:p w14:paraId="574F9981">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合同条款及格式</w:t>
      </w:r>
      <w:bookmarkStart w:id="3" w:name="_Toc20823315"/>
      <w:bookmarkStart w:id="4" w:name="_Toc513029243"/>
      <w:bookmarkStart w:id="5" w:name="_Toc16938559"/>
    </w:p>
    <w:bookmarkEnd w:id="3"/>
    <w:bookmarkEnd w:id="4"/>
    <w:bookmarkEnd w:id="5"/>
    <w:p w14:paraId="3F0C8D0F">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以下为中标后签订本项目合同的通用条款，中标人不得提出实质性的修改，关于专用条款将由招标人与中标人结合本项目具体情况协商后签订。</w:t>
      </w:r>
    </w:p>
    <w:p w14:paraId="282E4A99">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FFCE61D">
      <w:pPr>
        <w:keepNext w:val="0"/>
        <w:keepLines w:val="0"/>
        <w:pageBreakBefore w:val="0"/>
        <w:kinsoku/>
        <w:overflowPunct/>
        <w:topLinePunct w:val="0"/>
        <w:bidi w:val="0"/>
        <w:adjustRightInd/>
        <w:snapToGrid/>
        <w:spacing w:line="360" w:lineRule="auto"/>
        <w:ind w:firstLine="420" w:firstLineChars="200"/>
        <w:jc w:val="lef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B80496F">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EE2AF74">
      <w:pPr>
        <w:keepNext w:val="0"/>
        <w:keepLines w:val="0"/>
        <w:pageBreakBefore w:val="0"/>
        <w:kinsoku/>
        <w:overflowPunct/>
        <w:topLinePunct w:val="0"/>
        <w:bidi w:val="0"/>
        <w:adjustRightInd/>
        <w:snapToGrid/>
        <w:spacing w:line="360" w:lineRule="auto"/>
        <w:ind w:firstLine="420" w:firstLineChars="200"/>
        <w:jc w:val="lef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0F07E66">
      <w:pPr>
        <w:keepNext w:val="0"/>
        <w:keepLines w:val="0"/>
        <w:pageBreakBefore w:val="0"/>
        <w:widowControl/>
        <w:kinsoku/>
        <w:overflowPunct/>
        <w:topLinePunct w:val="0"/>
        <w:bidi w:val="0"/>
        <w:adjustRightInd/>
        <w:snapToGrid/>
        <w:spacing w:line="360" w:lineRule="auto"/>
        <w:ind w:firstLine="420" w:firstLineChars="200"/>
        <w:contextualSpacing/>
        <w:jc w:val="left"/>
        <w:textAlignment w:val="auto"/>
        <w:rPr>
          <w:rFonts w:hint="eastAsia" w:ascii="宋体" w:hAnsi="宋体" w:eastAsia="宋体" w:cs="宋体"/>
          <w:color w:val="auto"/>
          <w:kern w:val="0"/>
          <w:szCs w:val="21"/>
          <w:highlight w:val="none"/>
          <w:u w:val="none"/>
        </w:rPr>
      </w:pPr>
      <w:r>
        <w:rPr>
          <w:rFonts w:hint="eastAsia" w:ascii="宋体" w:hAnsi="宋体" w:eastAsia="宋体" w:cs="宋体"/>
          <w:bCs/>
          <w:color w:val="auto"/>
          <w:szCs w:val="21"/>
          <w:highlight w:val="none"/>
        </w:rPr>
        <w:t>为明确双方权利义务，本着公平、诚实和信用的原则，</w:t>
      </w:r>
      <w:r>
        <w:rPr>
          <w:rFonts w:hint="eastAsia" w:ascii="宋体" w:hAnsi="宋体" w:eastAsia="宋体" w:cs="宋体"/>
          <w:bCs/>
          <w:color w:val="auto"/>
          <w:szCs w:val="21"/>
          <w:highlight w:val="none"/>
          <w:u w:val="none"/>
        </w:rPr>
        <w:t>就</w:t>
      </w:r>
      <w:r>
        <w:rPr>
          <w:rFonts w:hint="eastAsia" w:ascii="宋体" w:hAnsi="宋体" w:cs="宋体"/>
          <w:bCs/>
          <w:color w:val="auto"/>
          <w:szCs w:val="21"/>
          <w:highlight w:val="none"/>
          <w:u w:val="none"/>
          <w:lang w:val="en-US" w:eastAsia="zh-CN"/>
        </w:rPr>
        <w:t>盐城市公安局特警实战训练基地室内实战应用射击场</w:t>
      </w:r>
      <w:r>
        <w:rPr>
          <w:rFonts w:hint="eastAsia" w:ascii="宋体" w:hAnsi="宋体" w:eastAsia="宋体" w:cs="宋体"/>
          <w:bCs/>
          <w:color w:val="auto"/>
          <w:szCs w:val="21"/>
          <w:highlight w:val="none"/>
          <w:u w:val="none"/>
          <w:lang w:eastAsia="zh-CN"/>
        </w:rPr>
        <w:t>项目</w:t>
      </w:r>
      <w:r>
        <w:rPr>
          <w:rFonts w:hint="eastAsia" w:ascii="宋体" w:hAnsi="宋体" w:eastAsia="宋体" w:cs="宋体"/>
          <w:bCs/>
          <w:color w:val="auto"/>
          <w:szCs w:val="21"/>
          <w:highlight w:val="none"/>
          <w:u w:val="none"/>
        </w:rPr>
        <w:t>订立本合同，以便共同遵守</w:t>
      </w:r>
      <w:r>
        <w:rPr>
          <w:rFonts w:hint="eastAsia" w:ascii="宋体" w:hAnsi="宋体" w:eastAsia="宋体" w:cs="宋体"/>
          <w:color w:val="auto"/>
          <w:kern w:val="0"/>
          <w:szCs w:val="21"/>
          <w:highlight w:val="none"/>
          <w:u w:val="none"/>
        </w:rPr>
        <w:t>。</w:t>
      </w:r>
    </w:p>
    <w:p w14:paraId="0EA3CC76">
      <w:pPr>
        <w:keepNext w:val="0"/>
        <w:keepLines w:val="0"/>
        <w:pageBreakBefore w:val="0"/>
        <w:kinsoku/>
        <w:wordWrap w:val="0"/>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项目名称</w:t>
      </w:r>
      <w:r>
        <w:rPr>
          <w:rFonts w:hint="eastAsia" w:ascii="宋体" w:hAnsi="宋体" w:eastAsia="宋体" w:cs="宋体"/>
          <w:b/>
          <w:color w:val="auto"/>
          <w:sz w:val="21"/>
          <w:szCs w:val="21"/>
          <w:highlight w:val="none"/>
        </w:rPr>
        <w:t>：</w:t>
      </w:r>
      <w:r>
        <w:rPr>
          <w:rFonts w:hint="eastAsia" w:ascii="宋体" w:hAnsi="宋体" w:cs="宋体"/>
          <w:bCs/>
          <w:color w:val="auto"/>
          <w:szCs w:val="21"/>
          <w:highlight w:val="none"/>
          <w:u w:val="none"/>
          <w:lang w:val="en-US" w:eastAsia="zh-CN"/>
        </w:rPr>
        <w:t>盐城市公安局特警实战训练基地室内实战应用射击场</w:t>
      </w:r>
      <w:r>
        <w:rPr>
          <w:rFonts w:hint="eastAsia" w:ascii="宋体" w:hAnsi="宋体" w:eastAsia="宋体" w:cs="宋体"/>
          <w:color w:val="auto"/>
          <w:kern w:val="0"/>
          <w:szCs w:val="21"/>
          <w:highlight w:val="none"/>
          <w:lang w:eastAsia="zh-CN"/>
        </w:rPr>
        <w:t>项目财务决算审计项目</w:t>
      </w:r>
      <w:r>
        <w:rPr>
          <w:rFonts w:hint="eastAsia" w:ascii="宋体" w:hAnsi="宋体" w:eastAsia="宋体" w:cs="宋体"/>
          <w:snapToGrid w:val="0"/>
          <w:color w:val="auto"/>
          <w:sz w:val="21"/>
          <w:szCs w:val="21"/>
          <w:highlight w:val="none"/>
        </w:rPr>
        <w:t>。</w:t>
      </w:r>
    </w:p>
    <w:p w14:paraId="45C773EC">
      <w:pPr>
        <w:keepNext w:val="0"/>
        <w:keepLines w:val="0"/>
        <w:pageBreakBefore w:val="0"/>
        <w:kinsoku/>
        <w:overflowPunct/>
        <w:topLinePunct w:val="0"/>
        <w:autoSpaceDE w:val="0"/>
        <w:autoSpaceDN w:val="0"/>
        <w:bidi w:val="0"/>
        <w:adjustRightInd/>
        <w:snapToGrid/>
        <w:spacing w:beforeAutospacing="0" w:afterAutospacing="0" w:line="360" w:lineRule="auto"/>
        <w:ind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w:t>
      </w:r>
      <w:r>
        <w:rPr>
          <w:rFonts w:hint="eastAsia" w:ascii="Times New Roman" w:hAnsi="Times New Roman" w:eastAsia="宋体" w:cs="Times New Roman"/>
          <w:bCs w:val="0"/>
          <w:color w:val="auto"/>
          <w:kern w:val="2"/>
          <w:sz w:val="21"/>
          <w:szCs w:val="24"/>
          <w:highlight w:val="none"/>
          <w:lang w:val="en-US" w:eastAsia="zh-CN"/>
        </w:rPr>
        <w:t>审计内容：</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对</w:t>
      </w:r>
      <w:r>
        <w:rPr>
          <w:rFonts w:hint="eastAsia" w:ascii="宋体" w:hAnsi="宋体" w:cs="宋体"/>
          <w:bCs/>
          <w:color w:val="auto"/>
          <w:szCs w:val="21"/>
          <w:highlight w:val="none"/>
          <w:u w:val="none"/>
          <w:lang w:val="en-US" w:eastAsia="zh-CN"/>
        </w:rPr>
        <w:t>盐城市公安局特警实战训练基地室内实战应用射击场</w:t>
      </w:r>
      <w:r>
        <w:rPr>
          <w:rFonts w:hint="eastAsia" w:ascii="Times New Roman" w:hAnsi="Times New Roman" w:eastAsia="宋体" w:cs="Times New Roman"/>
          <w:i w:val="0"/>
          <w:iCs w:val="0"/>
          <w:caps w:val="0"/>
          <w:color w:val="auto"/>
          <w:spacing w:val="0"/>
          <w:kern w:val="2"/>
          <w:sz w:val="21"/>
          <w:szCs w:val="24"/>
          <w:highlight w:val="none"/>
          <w:shd w:val="clear" w:color="auto" w:fill="auto"/>
        </w:rPr>
        <w:t>项目</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进行财务决算专项审计，确保财务信息的真实性和完整性，中标人须按《基本建设项目竣工财务决算管理暂行办法》(财建〔2016〕503号)和《会计师事务所从事基本建设工程预算、结算、决算审核暂行办法》等法律法规的规定审计</w:t>
      </w:r>
      <w:r>
        <w:rPr>
          <w:rFonts w:hint="eastAsia" w:ascii="Times New Roman" w:hAnsi="Times New Roman" w:eastAsia="宋体" w:cs="Times New Roman"/>
          <w:i w:val="0"/>
          <w:iCs w:val="0"/>
          <w:caps w:val="0"/>
          <w:color w:val="auto"/>
          <w:spacing w:val="0"/>
          <w:kern w:val="2"/>
          <w:sz w:val="21"/>
          <w:szCs w:val="24"/>
          <w:highlight w:val="none"/>
          <w:shd w:val="clear" w:color="auto" w:fill="auto"/>
        </w:rPr>
        <w:t>。</w:t>
      </w:r>
    </w:p>
    <w:p w14:paraId="1EE13910">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r>
        <w:rPr>
          <w:rFonts w:hint="eastAsia" w:ascii="宋体" w:hAnsi="宋体" w:eastAsia="宋体" w:cs="宋体"/>
          <w:b/>
          <w:color w:val="auto"/>
          <w:sz w:val="21"/>
          <w:szCs w:val="21"/>
          <w:highlight w:val="none"/>
        </w:rPr>
        <w:t>：</w:t>
      </w:r>
      <w:r>
        <w:rPr>
          <w:rFonts w:hint="eastAsia" w:ascii="Times New Roman" w:hAnsi="Times New Roman" w:eastAsia="宋体" w:cs="Times New Roman"/>
          <w:color w:val="auto"/>
          <w:kern w:val="2"/>
          <w:sz w:val="21"/>
          <w:szCs w:val="24"/>
          <w:highlight w:val="none"/>
          <w:lang w:val="en-US" w:eastAsia="zh-CN" w:bidi="ar-SA"/>
        </w:rPr>
        <w:t>接到甲方通知后</w:t>
      </w:r>
      <w:r>
        <w:rPr>
          <w:rFonts w:hint="eastAsia" w:cs="Times New Roman"/>
          <w:color w:val="auto"/>
          <w:kern w:val="2"/>
          <w:sz w:val="21"/>
          <w:szCs w:val="24"/>
          <w:highlight w:val="none"/>
          <w:lang w:val="en-US" w:eastAsia="zh-CN" w:bidi="ar-SA"/>
        </w:rPr>
        <w:t>30</w:t>
      </w:r>
      <w:r>
        <w:rPr>
          <w:rFonts w:hint="eastAsia" w:ascii="Times New Roman" w:hAnsi="Times New Roman" w:eastAsia="宋体" w:cs="Times New Roman"/>
          <w:color w:val="auto"/>
          <w:kern w:val="2"/>
          <w:sz w:val="21"/>
          <w:szCs w:val="24"/>
          <w:highlight w:val="none"/>
          <w:lang w:val="en-US" w:eastAsia="zh-CN" w:bidi="ar-SA"/>
        </w:rPr>
        <w:t>日历天内完成全部审计工作并出具财务决算审计报告</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每延误一天甲方将按人民币500元/天违约金处罚乙方。</w:t>
      </w:r>
    </w:p>
    <w:p w14:paraId="1A821FE4">
      <w:pPr>
        <w:keepLines w:val="0"/>
        <w:pageBreakBefore w:val="0"/>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质量要求及验收标准：</w:t>
      </w:r>
      <w:r>
        <w:rPr>
          <w:rFonts w:hint="eastAsia" w:ascii="宋体" w:hAnsi="宋体" w:cs="宋体"/>
          <w:color w:val="auto"/>
          <w:szCs w:val="21"/>
          <w:highlight w:val="none"/>
        </w:rPr>
        <w:t>满足国家相关规范、标准及强制性规定，</w:t>
      </w:r>
      <w:r>
        <w:rPr>
          <w:rFonts w:hint="eastAsia" w:ascii="宋体" w:hAnsi="宋体" w:cs="宋体"/>
          <w:color w:val="auto"/>
          <w:szCs w:val="21"/>
          <w:highlight w:val="none"/>
          <w:lang w:eastAsia="zh-CN"/>
        </w:rPr>
        <w:t>乙方需确保公平公正的完成本项目，</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确保审计报告的真实性和完整性</w:t>
      </w:r>
      <w:r>
        <w:rPr>
          <w:rFonts w:hint="eastAsia" w:ascii="宋体" w:hAnsi="宋体" w:eastAsia="宋体" w:cs="宋体"/>
          <w:color w:val="auto"/>
          <w:kern w:val="2"/>
          <w:sz w:val="21"/>
          <w:szCs w:val="21"/>
          <w:highlight w:val="none"/>
          <w:lang w:val="en-US" w:eastAsia="zh-CN" w:bidi="ar-SA"/>
        </w:rPr>
        <w:t>。</w:t>
      </w:r>
    </w:p>
    <w:p w14:paraId="46666FCF">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、服务费总额、支付时间及方式：</w:t>
      </w:r>
    </w:p>
    <w:p w14:paraId="53E1A0EA">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本项目合同审计费用的总额</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含税价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人民币</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lang w:val="en-US" w:eastAsia="zh-CN"/>
        </w:rPr>
        <w:t>¥：     元</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rPr>
        <w:t>。上述价格</w:t>
      </w:r>
      <w:bookmarkStart w:id="6" w:name="OLE_LINK18"/>
      <w:r>
        <w:rPr>
          <w:rFonts w:hint="eastAsia" w:ascii="宋体" w:hAnsi="宋体" w:eastAsia="宋体" w:cs="宋体"/>
          <w:bCs/>
          <w:color w:val="auto"/>
          <w:sz w:val="21"/>
          <w:szCs w:val="21"/>
          <w:highlight w:val="none"/>
        </w:rPr>
        <w:t>包含完成审计服务工作</w:t>
      </w:r>
      <w:bookmarkEnd w:id="6"/>
      <w:r>
        <w:rPr>
          <w:rFonts w:hint="eastAsia" w:ascii="宋体" w:hAnsi="宋体" w:eastAsia="宋体" w:cs="宋体"/>
          <w:bCs/>
          <w:color w:val="auto"/>
          <w:sz w:val="21"/>
          <w:szCs w:val="21"/>
          <w:highlight w:val="none"/>
        </w:rPr>
        <w:t>的所有费用。除招标文件和本合同约定的可调整内容外，审计服务费不作调整，甲方此外不再支付其它任何费用。</w:t>
      </w:r>
    </w:p>
    <w:p w14:paraId="36EA453C">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2、支付时间及方式：</w:t>
      </w:r>
      <w:r>
        <w:rPr>
          <w:rFonts w:hint="eastAsia" w:ascii="宋体" w:hAnsi="宋体" w:cs="宋体"/>
          <w:b w:val="0"/>
          <w:bCs w:val="0"/>
          <w:color w:val="auto"/>
          <w:szCs w:val="21"/>
          <w:highlight w:val="none"/>
          <w:lang w:val="en-US" w:eastAsia="zh-CN"/>
        </w:rPr>
        <w:t>乙方完成全部工作并向甲方出具符合甲方要求的审计报告后，经甲方确认后一次性付清合同金额。</w:t>
      </w:r>
    </w:p>
    <w:p w14:paraId="218B1D00">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注：以上付款均无银行利息，一律通过银行结转。付款前乙方应先提供合法有效等额的增值税专用发票，如因乙方提供发票不及时或不合格导致甲方逾期付款的，不视为甲方违约。</w:t>
      </w:r>
    </w:p>
    <w:p w14:paraId="3BF4E2E3">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六、履约保证金：</w:t>
      </w:r>
      <w:r>
        <w:rPr>
          <w:rFonts w:hint="eastAsia" w:ascii="宋体" w:hAnsi="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lang w:val="en-US" w:eastAsia="zh-CN"/>
        </w:rPr>
        <w:t>。</w:t>
      </w:r>
    </w:p>
    <w:p w14:paraId="2A23A328">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审计报告</w:t>
      </w:r>
      <w:r>
        <w:rPr>
          <w:rFonts w:hint="eastAsia" w:ascii="宋体" w:hAnsi="宋体" w:eastAsia="宋体" w:cs="宋体"/>
          <w:b/>
          <w:color w:val="auto"/>
          <w:sz w:val="21"/>
          <w:szCs w:val="21"/>
          <w:highlight w:val="none"/>
        </w:rPr>
        <w:t>提交方式：</w:t>
      </w:r>
      <w:r>
        <w:rPr>
          <w:rFonts w:hint="eastAsia" w:ascii="宋体" w:hAnsi="宋体" w:eastAsia="宋体" w:cs="宋体"/>
          <w:color w:val="auto"/>
          <w:sz w:val="21"/>
          <w:szCs w:val="21"/>
          <w:highlight w:val="none"/>
        </w:rPr>
        <w:t>乙方向甲方提交的《审计报告书》，至少一式</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份。</w:t>
      </w:r>
    </w:p>
    <w:p w14:paraId="452D4D28">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审计报告</w:t>
      </w:r>
      <w:r>
        <w:rPr>
          <w:rFonts w:hint="eastAsia" w:ascii="宋体" w:hAnsi="宋体" w:eastAsia="宋体" w:cs="宋体"/>
          <w:b/>
          <w:color w:val="auto"/>
          <w:sz w:val="21"/>
          <w:szCs w:val="21"/>
          <w:highlight w:val="none"/>
        </w:rPr>
        <w:t>使用者和使用方式：</w:t>
      </w:r>
    </w:p>
    <w:p w14:paraId="08493EF8">
      <w:pPr>
        <w:keepNext w:val="0"/>
        <w:keepLines w:val="0"/>
        <w:pageBreakBefore w:val="0"/>
        <w:widowControl w:val="0"/>
        <w:kinsoku/>
        <w:overflowPunct/>
        <w:topLinePunct w:val="0"/>
        <w:bidi w:val="0"/>
        <w:adjustRightInd/>
        <w:snapToGrid/>
        <w:spacing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本报告的使用者包括</w:t>
      </w:r>
      <w:r>
        <w:rPr>
          <w:rFonts w:hint="eastAsia" w:ascii="宋体" w:hAnsi="宋体" w:eastAsia="宋体" w:cs="宋体"/>
          <w:color w:val="auto"/>
          <w:kern w:val="2"/>
          <w:sz w:val="21"/>
          <w:szCs w:val="21"/>
          <w:highlight w:val="none"/>
          <w:u w:val="none"/>
          <w:lang w:val="en-US" w:eastAsia="zh-CN" w:bidi="ar-SA"/>
        </w:rPr>
        <w:t>甲方及甲方许可使用的、与本次经济行为相关的第三方。</w:t>
      </w:r>
      <w:r>
        <w:rPr>
          <w:rFonts w:hint="eastAsia" w:ascii="宋体" w:hAnsi="宋体" w:eastAsia="宋体" w:cs="宋体"/>
          <w:color w:val="auto"/>
          <w:kern w:val="2"/>
          <w:sz w:val="21"/>
          <w:szCs w:val="21"/>
          <w:highlight w:val="none"/>
          <w:lang w:val="en-US" w:eastAsia="zh-CN" w:bidi="ar-SA"/>
        </w:rPr>
        <w:t>本审计报告仅供上述约定的报告使用者使用，法律、法规另有规定除外。</w:t>
      </w:r>
    </w:p>
    <w:p w14:paraId="523A1945">
      <w:pPr>
        <w:keepNext w:val="0"/>
        <w:keepLines w:val="0"/>
        <w:pageBreakBefore w:val="0"/>
        <w:widowControl w:val="0"/>
        <w:kinsoku/>
        <w:overflowPunct/>
        <w:topLinePunct w:val="0"/>
        <w:bidi w:val="0"/>
        <w:adjustRightInd/>
        <w:snapToGrid/>
        <w:spacing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除法律、法规规定以及相关当事方另有约定外，审计报告的内容不得被摘抄、引用或者披露于公开媒体。</w:t>
      </w:r>
    </w:p>
    <w:p w14:paraId="0A84BF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、当事人的其他权利和义务：</w:t>
      </w:r>
    </w:p>
    <w:p w14:paraId="073BF4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（一）甲方的责任</w:t>
      </w:r>
    </w:p>
    <w:p w14:paraId="4DA9F6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1、甲方应当根据审计业务需要，负责审计人员与相关当事方之间的协调。</w:t>
      </w:r>
    </w:p>
    <w:p w14:paraId="4F4D1E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中需要甲方配合的，应指定相应人员积极配合，使</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工作顺利进行。</w:t>
      </w:r>
    </w:p>
    <w:p w14:paraId="01D9D4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、甲方应当清楚</w:t>
      </w:r>
      <w:r>
        <w:rPr>
          <w:rFonts w:hint="eastAsia" w:ascii="宋体" w:hAnsi="宋体" w:eastAsia="宋体" w:cs="宋体"/>
          <w:bCs/>
          <w:color w:val="auto"/>
          <w:sz w:val="21"/>
          <w:szCs w:val="21"/>
          <w:highlight w:val="none"/>
        </w:rPr>
        <w:t>提供必要的资料并保证所提供资料的真实性、合法性、完整性，恰当使用</w:t>
      </w:r>
      <w:r>
        <w:rPr>
          <w:rFonts w:hint="eastAsia" w:ascii="宋体" w:hAnsi="宋体" w:eastAsia="宋体" w:cs="宋体"/>
          <w:bCs/>
          <w:color w:val="auto"/>
          <w:sz w:val="21"/>
          <w:szCs w:val="21"/>
          <w:highlight w:val="none"/>
          <w:lang w:eastAsia="zh-CN"/>
        </w:rPr>
        <w:t>审计报告</w:t>
      </w:r>
      <w:r>
        <w:rPr>
          <w:rFonts w:hint="eastAsia" w:ascii="宋体" w:hAnsi="宋体" w:eastAsia="宋体" w:cs="宋体"/>
          <w:bCs/>
          <w:color w:val="auto"/>
          <w:sz w:val="21"/>
          <w:szCs w:val="21"/>
          <w:highlight w:val="none"/>
        </w:rPr>
        <w:t>是甲方和相关当事方的责任。</w:t>
      </w:r>
    </w:p>
    <w:p w14:paraId="2459E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按合同规定的标准和方式及合同条件支付给乙方服务费用。</w:t>
      </w:r>
    </w:p>
    <w:p w14:paraId="21E19837">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（二）乙方的责任</w:t>
      </w:r>
    </w:p>
    <w:p w14:paraId="4F663365">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遵守相关法律、法规和审计准则，恪守职业道德，对审计项目进行分析、估算并发表专业意见。</w:t>
      </w:r>
    </w:p>
    <w:p w14:paraId="06030DFD">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2、对甲方提供的全部资料、以及本次专项审计结果，严守秘密；未经甲方许可，乙方不得将</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的内容向第三方提供或者公开，法律、法规另有规定的除外。</w:t>
      </w:r>
    </w:p>
    <w:p w14:paraId="368FFFC6">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3、按照审计准则规定的格式和类型出具审计报告，并按约定的时间提交《</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书》。若因甲方不能按规定时间提供材料，则乙方顺延交付《</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书》的时间。</w:t>
      </w:r>
    </w:p>
    <w:p w14:paraId="49A39037">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、违约责任和争议解决：</w:t>
      </w:r>
    </w:p>
    <w:p w14:paraId="42F6ED54">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1、因甲方原因造成审计业务中止时，乙方可以要求甲方按照已完成的工作量支付相应的审计服务费。如乙方因执业中违规而受到国家相关部门处罚的，甲方有权终止合同，由此造成的损失全部由乙方承担。</w:t>
      </w:r>
    </w:p>
    <w:p w14:paraId="2B42FB49">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2、乙方须安排取得会计（或审计类）中级及以上职称或通过注册会计师考试2门及以上的人员常驻现场，直至提供的服务成果通过审批，未经甲方同意擅自离开的，须按2000元/天的标准向甲方支付违约金。</w:t>
      </w:r>
    </w:p>
    <w:p w14:paraId="6AC5E520">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当审计程序所受限制对与审计目的相对应的审计结论构成重大影响时，审计机构可以提出中止或解除业务约定书。甲方确定乙方提出的理由合理的，并同意解除合同的，按乙方实际提供的审计服务工作量酌情支付服务费用。</w:t>
      </w:r>
    </w:p>
    <w:p w14:paraId="4A430D65">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4、签约各方因不可抗力无法履行业务约定书的，根据不可抗力的影响，部分或者全部免除责任，法律另有规定的除外。</w:t>
      </w:r>
    </w:p>
    <w:p w14:paraId="1D67B61D">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5、因本约定书或执行本约定书产生的任何争议，应当由甲乙双方协商解决，如协商不成，应将争议提交甲方住所地人民法院进行诉讼解决。</w:t>
      </w:r>
    </w:p>
    <w:p w14:paraId="41FA9284">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、其他事项：</w:t>
      </w:r>
    </w:p>
    <w:p w14:paraId="1D945E46">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1、合同签订后，签约各方发现相关事项约定不明确，或者履行</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程序受到限制需要增加、调整约定事项的，可以协商对合同相关条款进行变更，并签订补充协</w:t>
      </w:r>
      <w:bookmarkStart w:id="7" w:name="_GoBack"/>
      <w:bookmarkEnd w:id="7"/>
      <w:r>
        <w:rPr>
          <w:rFonts w:hint="eastAsia" w:ascii="宋体" w:hAnsi="宋体" w:eastAsia="宋体" w:cs="宋体"/>
          <w:color w:val="auto"/>
          <w:sz w:val="21"/>
          <w:szCs w:val="21"/>
          <w:highlight w:val="none"/>
        </w:rPr>
        <w:t xml:space="preserve">议或者重新签订委托合同。   </w:t>
      </w:r>
    </w:p>
    <w:p w14:paraId="65B053B4">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2、当审计目的、审计对象、审计基准日发生变化，或者审计范围发生重大变化，应当签订补充协议或者重新签订委托合同。</w:t>
      </w:r>
    </w:p>
    <w:p w14:paraId="344855FB">
      <w:pPr>
        <w:keepNext w:val="0"/>
        <w:keepLines w:val="0"/>
        <w:pageBreakBefore w:val="0"/>
        <w:kinsoku/>
        <w:overflowPunct/>
        <w:topLinePunct w:val="0"/>
        <w:bidi w:val="0"/>
        <w:adjustRightInd/>
        <w:snapToGrid/>
        <w:spacing w:line="360" w:lineRule="auto"/>
        <w:ind w:left="0" w:leftChars="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3、本合同一式</w:t>
      </w:r>
      <w:r>
        <w:rPr>
          <w:rFonts w:hint="eastAsia" w:ascii="宋体" w:hAnsi="宋体" w:eastAsia="宋体" w:cs="宋体"/>
          <w:color w:val="auto"/>
          <w:kern w:val="2"/>
          <w:sz w:val="21"/>
          <w:szCs w:val="21"/>
          <w:highlight w:val="none"/>
          <w:u w:val="single"/>
          <w:lang w:val="en-US" w:eastAsia="zh-CN" w:bidi="ar-SA"/>
        </w:rPr>
        <w:t>拾</w:t>
      </w:r>
      <w:r>
        <w:rPr>
          <w:rFonts w:hint="eastAsia" w:ascii="宋体" w:hAnsi="宋体" w:eastAsia="宋体" w:cs="宋体"/>
          <w:color w:val="auto"/>
          <w:kern w:val="2"/>
          <w:sz w:val="21"/>
          <w:szCs w:val="21"/>
          <w:highlight w:val="none"/>
          <w:lang w:val="en-US" w:eastAsia="zh-CN" w:bidi="ar-SA"/>
        </w:rPr>
        <w:t>份，甲、乙双方各</w:t>
      </w:r>
      <w:r>
        <w:rPr>
          <w:rFonts w:hint="eastAsia" w:ascii="宋体" w:hAnsi="宋体" w:eastAsia="宋体" w:cs="宋体"/>
          <w:color w:val="auto"/>
          <w:kern w:val="2"/>
          <w:sz w:val="21"/>
          <w:szCs w:val="21"/>
          <w:highlight w:val="none"/>
          <w:u w:val="single"/>
          <w:lang w:val="en-US" w:eastAsia="zh-CN" w:bidi="ar-SA"/>
        </w:rPr>
        <w:t>伍</w:t>
      </w:r>
      <w:r>
        <w:rPr>
          <w:rFonts w:hint="eastAsia" w:ascii="宋体" w:hAnsi="宋体" w:eastAsia="宋体" w:cs="宋体"/>
          <w:color w:val="auto"/>
          <w:kern w:val="2"/>
          <w:sz w:val="21"/>
          <w:szCs w:val="21"/>
          <w:highlight w:val="none"/>
          <w:lang w:val="en-US" w:eastAsia="zh-CN" w:bidi="ar-SA"/>
        </w:rPr>
        <w:t>份，经双方盖章后生效。如遇特殊情况，经双方协商议定</w:t>
      </w:r>
      <w:r>
        <w:rPr>
          <w:rFonts w:hint="eastAsia" w:ascii="宋体" w:hAnsi="宋体" w:eastAsia="宋体" w:cs="宋体"/>
          <w:color w:val="auto"/>
          <w:szCs w:val="21"/>
          <w:highlight w:val="none"/>
        </w:rPr>
        <w:t>。</w:t>
      </w:r>
    </w:p>
    <w:p w14:paraId="00F61A50">
      <w:pPr>
        <w:spacing w:line="360" w:lineRule="auto"/>
        <w:ind w:firstLine="420" w:firstLineChars="200"/>
        <w:jc w:val="left"/>
        <w:rPr>
          <w:rFonts w:hint="eastAsia" w:ascii="宋体" w:hAnsi="宋体" w:eastAsia="宋体" w:cs="宋体"/>
          <w:color w:val="auto"/>
          <w:szCs w:val="21"/>
          <w:highlight w:val="none"/>
          <w:lang w:val="zh-CN"/>
        </w:rPr>
      </w:pPr>
    </w:p>
    <w:p w14:paraId="1F9D76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甲方（盖章）：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乙方（盖章）：</w:t>
      </w:r>
    </w:p>
    <w:p w14:paraId="04F4859F">
      <w:pPr>
        <w:spacing w:line="360" w:lineRule="auto"/>
        <w:ind w:firstLine="420" w:firstLineChars="200"/>
        <w:jc w:val="left"/>
        <w:rPr>
          <w:rFonts w:hint="eastAsia" w:ascii="宋体" w:hAnsi="宋体" w:eastAsia="宋体" w:cs="宋体"/>
          <w:color w:val="auto"/>
          <w:szCs w:val="21"/>
          <w:highlight w:val="none"/>
        </w:rPr>
      </w:pPr>
    </w:p>
    <w:p w14:paraId="1AE462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14:paraId="65DF8B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授权委托人（签字或盖章）：             授权委托人（签字或盖章）：</w:t>
      </w:r>
    </w:p>
    <w:p w14:paraId="4DDB555D">
      <w:pPr>
        <w:autoSpaceDE w:val="0"/>
        <w:autoSpaceDN w:val="0"/>
        <w:spacing w:line="360" w:lineRule="auto"/>
        <w:ind w:firstLine="420" w:firstLineChars="200"/>
        <w:jc w:val="left"/>
        <w:rPr>
          <w:rFonts w:hint="eastAsia" w:ascii="Times New Roman" w:hAnsi="Times New Roman" w:eastAsia="宋体" w:cs="Times New Roman"/>
          <w:color w:val="auto"/>
          <w:szCs w:val="24"/>
          <w:highlight w:val="none"/>
        </w:rPr>
      </w:pPr>
    </w:p>
    <w:p w14:paraId="349F6C14">
      <w:pPr>
        <w:pStyle w:val="2"/>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ZDg5MGVjY2MyOGUzZjdiM2M1OGQwMzdjNDkxYjIifQ=="/>
  </w:docVars>
  <w:rsids>
    <w:rsidRoot w:val="39690B55"/>
    <w:rsid w:val="1AA74341"/>
    <w:rsid w:val="3969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2796</Words>
  <Characters>2810</Characters>
  <Lines>0</Lines>
  <Paragraphs>0</Paragraphs>
  <TotalTime>4</TotalTime>
  <ScaleCrop>false</ScaleCrop>
  <LinksUpToDate>false</LinksUpToDate>
  <CharactersWithSpaces>3563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2024-09-05T07:58:00Z</dcterms:created>
  <dc:creator> Simon</dc:creator>
  <cp:lastModifiedBy>李磊</cp:lastModifiedBy>
  <dcterms:modified xsi:type="dcterms:W3CDTF">2025-10-28T00:41:32Z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68A096CEA20A434CB0F6C8275A849F8B_11</vt:lpwstr>
  </property>
  <property fmtid="{D5CDD505-2E9C-101B-9397-08002B2CF9AE}" pid="4" name="KSOTemplateDocerSaveRecord">
    <vt:lpwstr>eyJoZGlkIjoiZGE4MzBkMzI2MDYxMjQ2Njg3ZjhjZTg5OTllZTQ1MTciLCJ1c2VySWQiOiI0ODUzNDQwNDcifQ==</vt:lpwstr>
  </property>
</Properties>
</file>